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13E8" w14:textId="77777777" w:rsidR="001C1235" w:rsidRPr="001C1235" w:rsidRDefault="001C1235" w:rsidP="001C1235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u w:val="single"/>
        </w:rPr>
      </w:pPr>
      <w:r w:rsidRPr="001C123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u w:val="single"/>
        </w:rPr>
        <w:t>BY SIGNING THIS AGREEMENT YOU ARE WAIVING YOUR RIGHT TO A JURY</w:t>
      </w:r>
      <w:r w:rsidRPr="001C123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u w:val="single"/>
        </w:rPr>
        <w:br/>
        <w:t>TRIAL AND YOU ARE AGREEING TO ARBITRATE ALL CLAIMS ARISING OUT OF OR RELATED TO YOUR MEDICAL CARE AND TREATMENT</w:t>
      </w:r>
    </w:p>
    <w:p w14:paraId="770F6EE6" w14:textId="5DB0E92F" w:rsidR="001C1235" w:rsidRDefault="001C1235" w:rsidP="001C1235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1C123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  <w:t>ARBITRATION AGREEMENT FOR CLAIMS ARISING OUT OF OR RELATED TO</w:t>
      </w:r>
      <w:r w:rsidRPr="001C123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  <w:t>MEDICAL CARE AND TREATMENT</w:t>
      </w:r>
    </w:p>
    <w:p w14:paraId="66EE8FC1" w14:textId="77777777" w:rsidR="001C1235" w:rsidRDefault="001C1235" w:rsidP="001C1235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762F36C6" w14:textId="4849E997" w:rsidR="001C1235" w:rsidRDefault="001C1235" w:rsidP="00D57F5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AGREEMENT TO ARBITRATE CLAIMS REGARDING FUTURE CARE &amp; TREATMENT.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The patient agrees that any controversy, including without limitation, claims for medical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malpractice, personal injury, loss of consortium, or wrongful death, arising out of or in any way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relating to the diagnosis, treatment, or care of the patient by the undersigned provider of medical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services, including any partners, agents, or employees of the provider of medical services, shall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be submitted to binding arbitration.</w:t>
      </w:r>
    </w:p>
    <w:p w14:paraId="5936A28F" w14:textId="77777777" w:rsidR="001C1235" w:rsidRDefault="001C1235" w:rsidP="00D57F5A">
      <w:pPr>
        <w:pStyle w:val="ListParagraph"/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7E7CF9CE" w14:textId="5A265D45" w:rsidR="001C1235" w:rsidRPr="001C1235" w:rsidRDefault="001C1235" w:rsidP="00D57F5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AGREEMENT TO ARBITRATE CLAIMS REGARDING PAST CARE &amp; TREATMENT.</w:t>
      </w:r>
    </w:p>
    <w:p w14:paraId="29145A6C" w14:textId="20072FBA" w:rsidR="001C1235" w:rsidRDefault="001C1235" w:rsidP="00D57F5A">
      <w:pPr>
        <w:pStyle w:val="ListParagraph"/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The patient further agrees that any controversy, including without limitation, claims for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m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edical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malpractice, personal injury, loss of consortium, or wrongful death, arising out of or in any way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relating to the past diagnosis, treatment, or care of the patient by the undersigned provider of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medical services or the provider's partners, agents or employees, shall be submitted to binding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arbitration.</w:t>
      </w:r>
    </w:p>
    <w:p w14:paraId="4EBEBC00" w14:textId="77777777" w:rsidR="001C1235" w:rsidRPr="001C1235" w:rsidRDefault="001C1235" w:rsidP="00D57F5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5AF7CB1E" w14:textId="09EDB28D" w:rsidR="001C1235" w:rsidRDefault="001C1235" w:rsidP="00D57F5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WAIVER OF RIGHT TO JURY TRIAL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. BOTH PARTIES TO THIS AGREEMENT, BY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ENTERING INTO IT, ARE GIVING UP THEIR CONSTITUTIONAL RIGHT TO HAVE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ANY SUCH DISPUTE DECIDED IN A COURT OF LAW BEFORE A JURY, AND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INSTEAD ARE ACCEPTING THE USE OF BINDING ARBITRATION.</w:t>
      </w:r>
    </w:p>
    <w:p w14:paraId="35E46FC7" w14:textId="77777777" w:rsidR="001C1235" w:rsidRDefault="001C1235" w:rsidP="00D57F5A">
      <w:pPr>
        <w:pStyle w:val="ListParagraph"/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20EA460B" w14:textId="45EE13F4" w:rsidR="00D57F5A" w:rsidRPr="00D57F5A" w:rsidRDefault="001C1235" w:rsidP="00D57F5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NewRoman" w:eastAsia="Times New Roman" w:hAnsi="TimesNewRoman" w:cs="Times New Roman"/>
          <w:b/>
          <w:bCs/>
          <w:color w:val="4A91A4"/>
          <w:sz w:val="24"/>
          <w:szCs w:val="24"/>
        </w:rPr>
      </w:pPr>
      <w:r w:rsidRPr="00D57F5A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A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LL CLAIMS MUST BE ARBITRATED BY ALL CLAIMANTS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. All claims based upon the</w:t>
      </w:r>
      <w:r w:rsidR="00D57F5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same occurrence, incident, or care shall be arbitrated in one proceeding. It is the intention of the</w:t>
      </w:r>
      <w:r w:rsidR="00D57F5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parties that this Agreement bind all parties whose claims may arise out of or relate to treatment</w:t>
      </w:r>
      <w:r w:rsidR="00D57F5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or services provided by the provider of medical services, including the patient, the patient</w:t>
      </w:r>
      <w:r w:rsidR="00D57F5A">
        <w:rPr>
          <w:rFonts w:ascii="TimesNewRomanPSMT" w:eastAsia="Times New Roman" w:hAnsi="TimesNewRomanPSMT" w:cs="Times New Roman"/>
          <w:color w:val="000000"/>
          <w:sz w:val="24"/>
          <w:szCs w:val="24"/>
        </w:rPr>
        <w:t>’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s</w:t>
      </w:r>
      <w:r w:rsidR="00D57F5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estate, any spouse or heirs of the patient, and any children of the patient, whether born or</w:t>
      </w:r>
      <w:r w:rsidR="00D57F5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unborn, at the time of the occurrence giving rise to the claim. In the case of any pregnant</w:t>
      </w:r>
      <w:r w:rsidR="00D57F5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mother, the term 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>“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patient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>”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herein shall mean both the mother and the mother's expected child or</w:t>
      </w:r>
      <w:r w:rsidR="00D57F5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children. By signing this Agreement, the </w:t>
      </w:r>
      <w:r w:rsidR="00E72E18"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parties</w:t>
      </w:r>
      <w:r w:rsidR="00E72E18" w:rsidRPr="001C1235">
        <w:rPr>
          <w:rFonts w:ascii="TimesNewRomanPSMT" w:eastAsia="Times New Roman" w:hAnsi="TimesNewRomanPSMT" w:cs="Times New Roman" w:hint="eastAsia"/>
          <w:color w:val="000000"/>
          <w:sz w:val="24"/>
          <w:szCs w:val="24"/>
        </w:rPr>
        <w:t>’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consent to the participation in this arbitration of</w:t>
      </w:r>
      <w:r w:rsidR="00D57F5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any person or entity that would otherwise be a proper additional party in a court action.</w:t>
      </w:r>
    </w:p>
    <w:p w14:paraId="568DD795" w14:textId="77777777" w:rsidR="00D57F5A" w:rsidRPr="001924F3" w:rsidRDefault="00D57F5A" w:rsidP="001924F3">
      <w:pPr>
        <w:pStyle w:val="ListParagraph"/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4329AF86" w14:textId="0088C592" w:rsidR="003B73D5" w:rsidRPr="003B73D5" w:rsidRDefault="001C1235" w:rsidP="00F139D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3B73D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ARBITRATION PROCEDURES</w:t>
      </w:r>
      <w:r w:rsidRP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>. The parties agree and recognize that the substantive</w:t>
      </w:r>
      <w:r w:rsidR="00D57F5A" w:rsidRP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>provisions of Florida Statutes, Chapter 766, governing medical malpractice claims shall apply to</w:t>
      </w:r>
      <w:r w:rsidR="00D57F5A" w:rsidRP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>the parties and/or claimant(s) in all respects, except that at the conclusion of the pre-suit</w:t>
      </w:r>
      <w:r w:rsidR="00D57F5A" w:rsidRP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>screening period and provided there is no mutual agreement to arbitrate under Florida Statutes,</w:t>
      </w:r>
    </w:p>
    <w:p w14:paraId="297B0BF6" w14:textId="12824B8F" w:rsidR="001924F3" w:rsidRDefault="001C1235" w:rsidP="003B73D5">
      <w:pPr>
        <w:pStyle w:val="ListParagraph"/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766.106 or 766.207, et seq. (which remain available if elected by the parties), the parties and/or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claimant(s) shall resolve any claim through arbitration pursuant to this Agreement. Within thirty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(30) days after a party to this Agreement has given written notice to the other of a demand for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arbitration of said dispute or controversy under this Agreement, the parties to the dispute or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controversy shall each appoint an independent arbitrator who is a member of the American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Health Lawyers Association and give notice of such appointment to the other. Within a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reasonable time after such notices have been given the two arbitrators so selected shall select a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neutral arbitrator, who shall be an administrative law judge furnished by the Florida Division of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Administrative </w:t>
      </w:r>
      <w:r w:rsidR="00E72E18"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Hearings and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give notice of the selection thereof to the parties. The arbitrators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shall hold a hearing within a reasonable time from the date of notice of selection of the neutral</w:t>
      </w:r>
      <w:r w:rsidR="003B73D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arbitrator. The parties agree that the arbitration proceedings are private, not public, and the</w:t>
      </w:r>
      <w:r w:rsidR="001924F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privacy of the parties and of the arbitration proceedings shall be preserved.</w:t>
      </w:r>
      <w:r w:rsidR="001924F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14:paraId="763323B0" w14:textId="22ED0143" w:rsidR="006E7DAB" w:rsidRDefault="006E7DAB" w:rsidP="003B73D5">
      <w:pPr>
        <w:pStyle w:val="ListParagraph"/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5E2D8491" w14:textId="211C3A7A" w:rsidR="001B0609" w:rsidRPr="001B0609" w:rsidRDefault="00D5299C" w:rsidP="00AC5C6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ARBITRATION</w:t>
      </w:r>
      <w:r w:rsidRPr="00D5299C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 xml:space="preserve"> </w:t>
      </w:r>
      <w:r w:rsidR="001C1235"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EXPENSES</w:t>
      </w:r>
      <w:r w:rsidR="001C1235"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. Each party shall bear the cost of her/its own attorneys’ fees, the</w:t>
      </w:r>
      <w:r w:rsidR="001B060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1C1235"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costs of presenting her/its case, and her/its arbitrator. Any cost associated with the neutral</w:t>
      </w:r>
      <w:r w:rsidR="001B060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1C1235"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arbitrator shall be shared equally by the parties, to the extent not provided by the State</w:t>
      </w:r>
      <w:r w:rsidR="001B060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1C1235"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Department of Administrative Hearings. Other costs of the arbitration (e.g. of securing a</w:t>
      </w:r>
      <w:r w:rsidR="001B060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1C1235"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location for the arbitration, court reporter, etc.) shall be</w:t>
      </w:r>
      <w:r w:rsidR="00E72E1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share by the parties</w:t>
      </w:r>
      <w:r w:rsidR="001C1235"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="001B060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14:paraId="13439DF3" w14:textId="77777777" w:rsidR="001B0609" w:rsidRPr="001B0609" w:rsidRDefault="001B0609" w:rsidP="001B0609">
      <w:pPr>
        <w:pStyle w:val="ListParagrap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22A8DFF5" w14:textId="77777777" w:rsidR="00E63B99" w:rsidRPr="00E63B99" w:rsidRDefault="001C1235" w:rsidP="00AC5C6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APPLICABLE LAW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. Except as herein provided, the arbitration shall be conducted and</w:t>
      </w:r>
      <w:r w:rsidR="001B060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governed by the provisions of the Florida Arbitration Code, Florida Statutes, Section 682.01 et</w:t>
      </w:r>
      <w:r w:rsidR="00E63B9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seq. In conducting the arbitration under Florida Statutes, Section 682.01 et seq., all </w:t>
      </w:r>
      <w:r w:rsidR="00E63B9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substantive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provisions of Florida law governing medical malpractice claims and damages related thereto,</w:t>
      </w:r>
      <w:r w:rsidR="00E63B9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including but not limited to, Florida's Wrongful Death Act, the standard of care for medical</w:t>
      </w:r>
      <w:r w:rsidR="00E63B9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providers, the applicable statute of limitations and the application of collateral sources and</w:t>
      </w:r>
      <w:r w:rsidR="00E63B9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setoffs shall be applied. Except as otherwise provided by law, interest shall only accrue after an</w:t>
      </w:r>
      <w:r w:rsidR="00E63B9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award by the arbitration panel. Post-decision interest shall be computed in a manner consistent</w:t>
      </w:r>
      <w:r w:rsidR="00E63B9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with other civil claims. The provisions of Fla. Stat. § 768.81 regarding comparative fault shall</w:t>
      </w:r>
      <w:r w:rsidR="00E63B9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apply.</w:t>
      </w:r>
      <w:r w:rsidR="00E63B9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14:paraId="43A49125" w14:textId="77777777" w:rsidR="00E63B99" w:rsidRPr="00E63B99" w:rsidRDefault="00E63B99" w:rsidP="00E63B99">
      <w:pPr>
        <w:pStyle w:val="ListParagrap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1A13CE6E" w14:textId="77777777" w:rsidR="002B665B" w:rsidRPr="002B665B" w:rsidRDefault="001C1235" w:rsidP="00AC5C6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EFFECT OF REFUSAL TO PROCEED WITH ARBITRATION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. In the event that any party to</w:t>
      </w:r>
      <w:r w:rsidR="002B665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this Agreement refuses to go forward with arbitration, the party compelling arbitration reserves</w:t>
      </w:r>
      <w:r w:rsidR="002B665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the right to proceed with arbitration, the appointment of an arbitrator, and hearings to resolve the</w:t>
      </w:r>
      <w:r w:rsidR="002B665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dispute, despite the refusal to participate or absence of the opposing party. Submission of any</w:t>
      </w:r>
      <w:r w:rsidR="002B665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dispute under this agreement to arbitration may only be avoided by a valid court order,</w:t>
      </w:r>
      <w:r w:rsidR="002B665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indicating that the dispute is beyond the scope of this Agreement or contains an illegal aspect</w:t>
      </w:r>
      <w:r w:rsidR="002B665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precluding the resolution of the dispute by arbitration. Any party to this Agreement who refuses</w:t>
      </w:r>
      <w:r w:rsidR="002B665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to go forward with arbitration hereby acknowledges that the arbitrator will go forward with the</w:t>
      </w:r>
      <w:r w:rsidR="002B665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arbitration hearing and render a binding decision without the participation of the party opposing</w:t>
      </w:r>
      <w:r w:rsidR="002B665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arbitration or despite that party's absence at the arbitration hearing.</w:t>
      </w:r>
      <w:r w:rsidR="002B665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14:paraId="04E30657" w14:textId="77777777" w:rsidR="002B665B" w:rsidRPr="002B665B" w:rsidRDefault="002B665B" w:rsidP="002B665B">
      <w:pPr>
        <w:pStyle w:val="ListParagrap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7DCC5FA6" w14:textId="6D92CF8C" w:rsidR="00F4365F" w:rsidRPr="00F4365F" w:rsidRDefault="001C1235" w:rsidP="00AC5C6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SEVERABILITY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. If any provision of this Agreement is held invalid or unenforceable, the</w:t>
      </w:r>
      <w:r w:rsidR="00F4365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remaining provisions shall remain in full force and shall not be affected by the invalidity of any</w:t>
      </w:r>
      <w:r w:rsidR="00F4365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other provision.</w:t>
      </w:r>
      <w:r w:rsidR="00F4365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14:paraId="5CB599A9" w14:textId="77777777" w:rsidR="00F4365F" w:rsidRPr="00F4365F" w:rsidRDefault="00F4365F" w:rsidP="00F4365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9412395" w14:textId="77777777" w:rsidR="00F4365F" w:rsidRPr="00F4365F" w:rsidRDefault="001C1235" w:rsidP="00AC5C6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ACKNOWLEDGEMENTS BY PATIENT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. The patient, by signing this Agreement, also</w:t>
      </w:r>
      <w:r w:rsidR="00F4365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acknowledges that he or she has been informed that:</w:t>
      </w:r>
      <w:r w:rsidR="00F4365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14:paraId="22FEADF8" w14:textId="77777777" w:rsidR="00F4365F" w:rsidRPr="00F4365F" w:rsidRDefault="00F4365F" w:rsidP="00F4365F">
      <w:pPr>
        <w:pStyle w:val="ListParagrap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61DD8413" w14:textId="0A20CADC" w:rsidR="00F4365F" w:rsidRPr="00F4365F" w:rsidRDefault="001C1235" w:rsidP="00F436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lastRenderedPageBreak/>
        <w:t>NO DURESS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. The Agreement may not be submitted to a patient for approval when</w:t>
      </w:r>
      <w:r w:rsidR="00F4365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the patient's condition prevents the patient from making a rational decision whether</w:t>
      </w:r>
      <w:r w:rsidR="00F4365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or not to agree;</w:t>
      </w:r>
      <w:r w:rsidR="00F4365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14:paraId="27131A5D" w14:textId="77777777" w:rsidR="00F4365F" w:rsidRPr="00F4365F" w:rsidRDefault="00F4365F" w:rsidP="00F4365F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4CD7B9" w14:textId="05968698" w:rsidR="00F4365F" w:rsidRPr="00F4365F" w:rsidRDefault="001C1235" w:rsidP="00F436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AGREEMENT BASED UPON OWN FREE WILL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. The decision whether or not to</w:t>
      </w:r>
      <w:r w:rsidR="00F4365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sign this Agreement is solely a matter for the patient's determination without any</w:t>
      </w:r>
      <w:r w:rsidR="00F4365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influence by the</w:t>
      </w:r>
      <w:r w:rsidR="00E72E18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medical provider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  <w:r w:rsidR="00F4365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14:paraId="78FC917F" w14:textId="77777777" w:rsidR="00F4365F" w:rsidRPr="00F4365F" w:rsidRDefault="00F4365F" w:rsidP="00F4365F">
      <w:pPr>
        <w:pStyle w:val="ListParagrap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60D53970" w14:textId="1FAB522E" w:rsidR="007C44EC" w:rsidRPr="007C44EC" w:rsidRDefault="001C1235" w:rsidP="00F436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BINDING ARBITRATION AND EFFECT ON RIGHT OF APPEAL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. Binding</w:t>
      </w:r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arbitration means that the parties give up their right to go to court to assert or defend</w:t>
      </w:r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 claim covered by this Agreement. The resolution of claims covered by this</w:t>
      </w:r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Agreement will be determined by a neutral panel of arbitrators and not a judge or</w:t>
      </w:r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jury. Each party is entitled to a fair hearing, but the arbitration procedures are</w:t>
      </w:r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simpler and more limited than rules applicable in court. Arbitration decisions are as</w:t>
      </w:r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enforceable as any court order. The decision of an arbitration panel is final and there</w:t>
      </w:r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will generally be no right to appeal an adverse decision. However, any party may,</w:t>
      </w:r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within 15 days from a decision of an arbitration panel, file a written request for</w:t>
      </w:r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reconsideration. Any such request for reconsideration shall be based upon (i) a claim</w:t>
      </w:r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that the panel failed to properly apply the law or applicable rules of evidence or (ii)</w:t>
      </w:r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that the procedures specified in this Agreement or Fla. Stat. §§ 682.01, et seq. </w:t>
      </w:r>
      <w:proofErr w:type="spellStart"/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were</w:t>
      </w:r>
      <w:proofErr w:type="spellEnd"/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not followed. A claim that the panel was incorrect as to the facts, or gave undue</w:t>
      </w:r>
      <w:r w:rsidR="007C44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weight to certain evidence will not be a basis for a request for reconsideration</w:t>
      </w:r>
      <w:r w:rsidR="00E72E18">
        <w:rPr>
          <w:rFonts w:ascii="TimesNewRomanPSMT" w:eastAsia="Times New Roman" w:hAnsi="TimesNewRomanPSMT" w:cs="Times New Roman"/>
          <w:color w:val="000000"/>
          <w:sz w:val="24"/>
          <w:szCs w:val="24"/>
        </w:rPr>
        <w:t>; and</w:t>
      </w:r>
    </w:p>
    <w:p w14:paraId="1B507D21" w14:textId="77777777" w:rsidR="007C44EC" w:rsidRPr="007C44EC" w:rsidRDefault="007C44EC" w:rsidP="007C44EC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76608" w14:textId="4589199D" w:rsidR="001C1235" w:rsidRPr="00B0297C" w:rsidRDefault="001C1235" w:rsidP="00B46EE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  <w:u w:val="single"/>
        </w:rPr>
        <w:t>SIGNATURE OF AGREEMENT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. This Agreement shall be effective upon the</w:t>
      </w:r>
      <w:r w:rsidR="00B0297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patient's and/or the patient's representative's signature below. Upon such signature,</w:t>
      </w:r>
      <w:r w:rsidR="00B0297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1235">
        <w:rPr>
          <w:rFonts w:ascii="TimesNewRomanPSMT" w:eastAsia="Times New Roman" w:hAnsi="TimesNewRomanPSMT" w:cs="Times New Roman"/>
          <w:color w:val="000000"/>
          <w:sz w:val="24"/>
          <w:szCs w:val="24"/>
        </w:rPr>
        <w:t>this Agreement shall be deemed to be fully executed and binding upon all parties.</w:t>
      </w:r>
    </w:p>
    <w:p w14:paraId="1854FF88" w14:textId="77777777" w:rsidR="00B0297C" w:rsidRDefault="00B0297C" w:rsidP="00B02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DF436" w14:textId="77777777" w:rsidR="00346DC1" w:rsidRDefault="00346DC1" w:rsidP="00B02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9081C" w14:textId="77777777" w:rsidR="00346DC1" w:rsidRPr="00B0297C" w:rsidRDefault="00346DC1" w:rsidP="00B02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90" w:type="dxa"/>
        <w:tblLayout w:type="fixed"/>
        <w:tblLook w:val="04A0" w:firstRow="1" w:lastRow="0" w:firstColumn="1" w:lastColumn="0" w:noHBand="0" w:noVBand="1"/>
      </w:tblPr>
      <w:tblGrid>
        <w:gridCol w:w="5940"/>
        <w:gridCol w:w="270"/>
        <w:gridCol w:w="2880"/>
      </w:tblGrid>
      <w:tr w:rsidR="00B0297C" w:rsidRPr="001C1235" w14:paraId="54929222" w14:textId="664E3B2E" w:rsidTr="00B0297C">
        <w:trPr>
          <w:gridAfter w:val="1"/>
          <w:wAfter w:w="2880" w:type="dxa"/>
        </w:trPr>
        <w:tc>
          <w:tcPr>
            <w:tcW w:w="5940" w:type="dxa"/>
            <w:tcBorders>
              <w:top w:val="single" w:sz="4" w:space="0" w:color="auto"/>
            </w:tcBorders>
            <w:vAlign w:val="center"/>
            <w:hideMark/>
          </w:tcPr>
          <w:p w14:paraId="01C3C6DC" w14:textId="2C9BA178" w:rsidR="00B0297C" w:rsidRDefault="009F5DB8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___________________,</w:t>
            </w:r>
            <w:r w:rsidR="00470CE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="00923B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Managing Member</w:t>
            </w:r>
            <w:r w:rsidR="00346DC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of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Precision Health Digital</w:t>
            </w:r>
            <w:r w:rsidR="00923B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, LLC</w:t>
            </w:r>
            <w:r w:rsidR="00B0297C" w:rsidRPr="001C123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, and as an agent of its</w:t>
            </w:r>
            <w:r w:rsidR="00B0297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="00E72E1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employees</w:t>
            </w:r>
            <w:r w:rsidR="00B0297C" w:rsidRPr="001C123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, partners, agents, and </w:t>
            </w:r>
            <w:r w:rsidR="00E72E1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independent contractors</w:t>
            </w:r>
            <w:r w:rsidR="00B0297C" w:rsidRPr="001C123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00393A9D" w14:textId="77777777" w:rsidR="00346DC1" w:rsidRDefault="00346DC1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09921BAF" w14:textId="77777777" w:rsidR="00346DC1" w:rsidRDefault="00346DC1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4429E5DD" w14:textId="77777777" w:rsidR="00346DC1" w:rsidRDefault="00346DC1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1A820E33" w14:textId="77777777" w:rsidR="00346DC1" w:rsidRDefault="00346DC1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3C363692" w14:textId="77777777" w:rsidR="00346DC1" w:rsidRDefault="00346DC1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35497C3D" w14:textId="77777777" w:rsidR="00346DC1" w:rsidRDefault="00346DC1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4F36481B" w14:textId="77777777" w:rsidR="00346DC1" w:rsidRDefault="00346DC1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6ED3ED8F" w14:textId="77777777" w:rsidR="00346DC1" w:rsidRDefault="00346DC1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6115AB9A" w14:textId="77777777" w:rsidR="00346DC1" w:rsidRDefault="00346DC1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1D294FDB" w14:textId="77777777" w:rsidR="00346DC1" w:rsidRDefault="00346DC1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124860BF" w14:textId="77777777" w:rsidR="00346DC1" w:rsidRDefault="00346DC1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6D6919D5" w14:textId="77777777" w:rsidR="00B0297C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1261FF79" w14:textId="407C75E6" w:rsidR="00B0297C" w:rsidRPr="001C1235" w:rsidRDefault="00B0297C" w:rsidP="001C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2412F46" w14:textId="77777777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</w:tr>
      <w:tr w:rsidR="00B0297C" w:rsidRPr="001C1235" w14:paraId="4DDCC351" w14:textId="79BF68EB" w:rsidTr="00B0297C">
        <w:tc>
          <w:tcPr>
            <w:tcW w:w="5940" w:type="dxa"/>
            <w:tcBorders>
              <w:bottom w:val="single" w:sz="4" w:space="0" w:color="auto"/>
            </w:tcBorders>
            <w:vAlign w:val="center"/>
            <w:hideMark/>
          </w:tcPr>
          <w:p w14:paraId="69F28428" w14:textId="7410FAF5" w:rsidR="00B0297C" w:rsidRDefault="00B0297C" w:rsidP="001C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3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Patient:</w:t>
            </w:r>
            <w:r w:rsidRPr="001C123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br/>
            </w:r>
          </w:p>
          <w:p w14:paraId="4A788F80" w14:textId="77777777" w:rsidR="00B0297C" w:rsidRDefault="00B0297C" w:rsidP="001C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FCFFA4" w14:textId="2468F7AE" w:rsidR="00B0297C" w:rsidRPr="001C1235" w:rsidRDefault="00B0297C" w:rsidP="001C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  <w:hideMark/>
          </w:tcPr>
          <w:p w14:paraId="25E7EF87" w14:textId="6FB9B22C" w:rsidR="00B0297C" w:rsidRPr="001C1235" w:rsidRDefault="00B0297C" w:rsidP="001C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F28ED11" w14:textId="13B06BAA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</w:tr>
      <w:tr w:rsidR="00B0297C" w:rsidRPr="001C1235" w14:paraId="5BE44772" w14:textId="77777777" w:rsidTr="00B0297C">
        <w:tc>
          <w:tcPr>
            <w:tcW w:w="5940" w:type="dxa"/>
            <w:vAlign w:val="center"/>
          </w:tcPr>
          <w:p w14:paraId="5523A12A" w14:textId="51434EAB" w:rsidR="00B0297C" w:rsidRPr="001C1235" w:rsidRDefault="00B0297C" w:rsidP="001C123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  <w:r w:rsidRPr="001C123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Print name:</w:t>
            </w:r>
          </w:p>
        </w:tc>
        <w:tc>
          <w:tcPr>
            <w:tcW w:w="270" w:type="dxa"/>
            <w:vAlign w:val="center"/>
          </w:tcPr>
          <w:p w14:paraId="52EAB295" w14:textId="77777777" w:rsidR="00B0297C" w:rsidRPr="001C1235" w:rsidRDefault="00B0297C" w:rsidP="001C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D1CE4E" w14:textId="721F0989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1C123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Date</w:t>
            </w:r>
          </w:p>
        </w:tc>
      </w:tr>
      <w:tr w:rsidR="00B0297C" w:rsidRPr="001C1235" w14:paraId="050E9560" w14:textId="77777777" w:rsidTr="00B0297C"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249A0ACD" w14:textId="77777777" w:rsidR="00B0297C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5D123C90" w14:textId="77777777" w:rsidR="00B0297C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0B424C20" w14:textId="449D2E9E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096F2811" w14:textId="77777777" w:rsidR="00B0297C" w:rsidRPr="001C1235" w:rsidRDefault="00B0297C" w:rsidP="001C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860CFBF" w14:textId="77777777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</w:tr>
      <w:tr w:rsidR="00B0297C" w:rsidRPr="001C1235" w14:paraId="26D8C02B" w14:textId="201B7C05" w:rsidTr="00B0297C"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843F8" w14:textId="77777777" w:rsidR="00B0297C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1C123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Patient Signature</w:t>
            </w:r>
          </w:p>
          <w:p w14:paraId="7D151851" w14:textId="77777777" w:rsidR="00B0297C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5E54E82B" w14:textId="3554462E" w:rsidR="00B0297C" w:rsidRPr="001C1235" w:rsidRDefault="00B0297C" w:rsidP="001C123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7A5B97BA" w14:textId="77777777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971934C" w14:textId="77777777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</w:tr>
      <w:tr w:rsidR="00B0297C" w:rsidRPr="001C1235" w14:paraId="5663F6CF" w14:textId="77777777" w:rsidTr="00B0297C"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2E798" w14:textId="77777777" w:rsidR="00B0297C" w:rsidRDefault="00B0297C" w:rsidP="001C123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  <w:r w:rsidRPr="001C123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Parent or Guardian [if patient is a minor]</w:t>
            </w:r>
          </w:p>
          <w:p w14:paraId="046CBB5A" w14:textId="77777777" w:rsidR="00B0297C" w:rsidRDefault="00B0297C" w:rsidP="001C123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</w:p>
          <w:p w14:paraId="5607432E" w14:textId="342B83D1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6FA92ECC" w14:textId="77777777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8754850" w14:textId="77777777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</w:tr>
      <w:tr w:rsidR="00B0297C" w:rsidRPr="001C1235" w14:paraId="07DAE6EA" w14:textId="77777777" w:rsidTr="00556A81"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7D07FA2D" w14:textId="7AC054B8" w:rsidR="00B0297C" w:rsidRPr="001C1235" w:rsidRDefault="00B0297C" w:rsidP="001C123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  <w:r w:rsidRPr="001C123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Print name</w:t>
            </w:r>
          </w:p>
        </w:tc>
        <w:tc>
          <w:tcPr>
            <w:tcW w:w="270" w:type="dxa"/>
            <w:vAlign w:val="center"/>
          </w:tcPr>
          <w:p w14:paraId="36159053" w14:textId="77777777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44EA348" w14:textId="6E81A24A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1C123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Date</w:t>
            </w:r>
          </w:p>
        </w:tc>
      </w:tr>
      <w:tr w:rsidR="00B0297C" w:rsidRPr="001C1235" w14:paraId="5E737010" w14:textId="752CAF63" w:rsidTr="00556A81">
        <w:tc>
          <w:tcPr>
            <w:tcW w:w="5940" w:type="dxa"/>
            <w:tcBorders>
              <w:bottom w:val="single" w:sz="4" w:space="0" w:color="auto"/>
            </w:tcBorders>
            <w:vAlign w:val="center"/>
            <w:hideMark/>
          </w:tcPr>
          <w:p w14:paraId="293DD9E3" w14:textId="7888CFE5" w:rsidR="00B0297C" w:rsidRPr="001C1235" w:rsidRDefault="00B0297C" w:rsidP="001C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3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C123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0" w:type="dxa"/>
            <w:vAlign w:val="center"/>
            <w:hideMark/>
          </w:tcPr>
          <w:p w14:paraId="44DC9CAD" w14:textId="60AB2813" w:rsidR="00B0297C" w:rsidRPr="001C1235" w:rsidRDefault="00B0297C" w:rsidP="001C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E514E91" w14:textId="08242A91" w:rsidR="00B0297C" w:rsidRPr="001C1235" w:rsidRDefault="00B0297C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</w:tr>
      <w:tr w:rsidR="00556A81" w:rsidRPr="001C1235" w14:paraId="22854C70" w14:textId="77777777" w:rsidTr="00556A81"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79236769" w14:textId="339C75EF" w:rsidR="00556A81" w:rsidRPr="001C1235" w:rsidRDefault="00556A81" w:rsidP="001C123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  <w:r w:rsidRPr="001C123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Parent or Guardian Signature</w:t>
            </w:r>
          </w:p>
        </w:tc>
        <w:tc>
          <w:tcPr>
            <w:tcW w:w="270" w:type="dxa"/>
            <w:vAlign w:val="center"/>
          </w:tcPr>
          <w:p w14:paraId="5E4328D8" w14:textId="77777777" w:rsidR="00556A81" w:rsidRPr="001C1235" w:rsidRDefault="00556A81" w:rsidP="001C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182D07E" w14:textId="77777777" w:rsidR="00556A81" w:rsidRPr="001C1235" w:rsidRDefault="00556A81" w:rsidP="001C123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</w:tr>
    </w:tbl>
    <w:p w14:paraId="7301E4D2" w14:textId="77777777" w:rsidR="00781EF1" w:rsidRDefault="00781EF1"/>
    <w:sectPr w:rsidR="00781E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EB25" w14:textId="77777777" w:rsidR="003B73D5" w:rsidRDefault="003B73D5" w:rsidP="003B73D5">
      <w:pPr>
        <w:spacing w:after="0" w:line="240" w:lineRule="auto"/>
      </w:pPr>
      <w:r>
        <w:separator/>
      </w:r>
    </w:p>
  </w:endnote>
  <w:endnote w:type="continuationSeparator" w:id="0">
    <w:p w14:paraId="32B42EFB" w14:textId="77777777" w:rsidR="003B73D5" w:rsidRDefault="003B73D5" w:rsidP="003B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74F7" w14:textId="1AD99848" w:rsidR="003B73D5" w:rsidRDefault="00ED7AD6" w:rsidP="003B73D5">
    <w:pPr>
      <w:spacing w:after="0" w:line="240" w:lineRule="auto"/>
      <w:rPr>
        <w:rFonts w:ascii="Calibri" w:eastAsia="Times New Roman" w:hAnsi="Calibri" w:cs="Calibri"/>
        <w:color w:val="000000"/>
      </w:rPr>
    </w:pPr>
    <w:r>
      <w:rPr>
        <w:rFonts w:ascii="Calibri" w:eastAsia="Times New Roman" w:hAnsi="Calibri" w:cs="Calibri"/>
        <w:color w:val="000000"/>
      </w:rPr>
      <w:tab/>
    </w:r>
    <w:r>
      <w:rPr>
        <w:rFonts w:ascii="Calibri" w:eastAsia="Times New Roman" w:hAnsi="Calibri" w:cs="Calibri"/>
        <w:color w:val="000000"/>
      </w:rPr>
      <w:tab/>
    </w:r>
    <w:r>
      <w:rPr>
        <w:rFonts w:ascii="Calibri" w:eastAsia="Times New Roman" w:hAnsi="Calibri" w:cs="Calibri"/>
        <w:color w:val="000000"/>
      </w:rPr>
      <w:tab/>
    </w:r>
    <w:r>
      <w:rPr>
        <w:rFonts w:ascii="Calibri" w:eastAsia="Times New Roman" w:hAnsi="Calibri" w:cs="Calibri"/>
        <w:color w:val="000000"/>
      </w:rPr>
      <w:tab/>
      <w:t xml:space="preserve">Page </w:t>
    </w:r>
    <w:r w:rsidRPr="00ED7AD6">
      <w:rPr>
        <w:rFonts w:ascii="Calibri" w:eastAsia="Times New Roman" w:hAnsi="Calibri" w:cs="Calibri"/>
        <w:color w:val="000000"/>
      </w:rPr>
      <w:fldChar w:fldCharType="begin"/>
    </w:r>
    <w:r w:rsidRPr="00ED7AD6">
      <w:rPr>
        <w:rFonts w:ascii="Calibri" w:eastAsia="Times New Roman" w:hAnsi="Calibri" w:cs="Calibri"/>
        <w:color w:val="000000"/>
      </w:rPr>
      <w:instrText xml:space="preserve"> PAGE   \* MERGEFORMAT </w:instrText>
    </w:r>
    <w:r w:rsidRPr="00ED7AD6">
      <w:rPr>
        <w:rFonts w:ascii="Calibri" w:eastAsia="Times New Roman" w:hAnsi="Calibri" w:cs="Calibri"/>
        <w:color w:val="000000"/>
      </w:rPr>
      <w:fldChar w:fldCharType="separate"/>
    </w:r>
    <w:r w:rsidRPr="00ED7AD6">
      <w:rPr>
        <w:rFonts w:ascii="Calibri" w:eastAsia="Times New Roman" w:hAnsi="Calibri" w:cs="Calibri"/>
        <w:noProof/>
        <w:color w:val="000000"/>
      </w:rPr>
      <w:t>1</w:t>
    </w:r>
    <w:r w:rsidRPr="00ED7AD6">
      <w:rPr>
        <w:rFonts w:ascii="Calibri" w:eastAsia="Times New Roman" w:hAnsi="Calibri" w:cs="Calibri"/>
        <w:noProof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FB5A" w14:textId="77777777" w:rsidR="003B73D5" w:rsidRDefault="003B73D5" w:rsidP="003B73D5">
      <w:pPr>
        <w:spacing w:after="0" w:line="240" w:lineRule="auto"/>
      </w:pPr>
      <w:r>
        <w:separator/>
      </w:r>
    </w:p>
  </w:footnote>
  <w:footnote w:type="continuationSeparator" w:id="0">
    <w:p w14:paraId="7DCF337A" w14:textId="77777777" w:rsidR="003B73D5" w:rsidRDefault="003B73D5" w:rsidP="003B7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75FF"/>
    <w:multiLevelType w:val="hybridMultilevel"/>
    <w:tmpl w:val="BB7E8160"/>
    <w:lvl w:ilvl="0" w:tplc="E206B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249D1"/>
    <w:multiLevelType w:val="hybridMultilevel"/>
    <w:tmpl w:val="175A5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298311">
    <w:abstractNumId w:val="1"/>
  </w:num>
  <w:num w:numId="2" w16cid:durableId="136413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35"/>
    <w:rsid w:val="00136817"/>
    <w:rsid w:val="001924F3"/>
    <w:rsid w:val="0019770E"/>
    <w:rsid w:val="001B0609"/>
    <w:rsid w:val="001C1235"/>
    <w:rsid w:val="00256985"/>
    <w:rsid w:val="002B665B"/>
    <w:rsid w:val="00346DC1"/>
    <w:rsid w:val="003B73D5"/>
    <w:rsid w:val="00470CE5"/>
    <w:rsid w:val="005324E8"/>
    <w:rsid w:val="00556A81"/>
    <w:rsid w:val="005805BD"/>
    <w:rsid w:val="006E7DAB"/>
    <w:rsid w:val="0072658E"/>
    <w:rsid w:val="00781EF1"/>
    <w:rsid w:val="007C44EC"/>
    <w:rsid w:val="00923BF7"/>
    <w:rsid w:val="009C17A1"/>
    <w:rsid w:val="009F5DB8"/>
    <w:rsid w:val="00A024FC"/>
    <w:rsid w:val="00AE1A14"/>
    <w:rsid w:val="00B0297C"/>
    <w:rsid w:val="00B4687E"/>
    <w:rsid w:val="00D5299C"/>
    <w:rsid w:val="00D54CDA"/>
    <w:rsid w:val="00D57F5A"/>
    <w:rsid w:val="00DC22D9"/>
    <w:rsid w:val="00E63B99"/>
    <w:rsid w:val="00E72E18"/>
    <w:rsid w:val="00ED7AD6"/>
    <w:rsid w:val="00F4365F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2126DA7"/>
  <w15:chartTrackingRefBased/>
  <w15:docId w15:val="{87A6AF52-B140-4568-8272-49502A18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C123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C12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C12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C1235"/>
    <w:rPr>
      <w:rFonts w:ascii="TimesNewRoman" w:hAnsi="TimesNewRoman" w:hint="default"/>
      <w:b w:val="0"/>
      <w:bCs w:val="0"/>
      <w:i w:val="0"/>
      <w:iCs w:val="0"/>
      <w:color w:val="4E2C6B"/>
      <w:sz w:val="54"/>
      <w:szCs w:val="54"/>
    </w:rPr>
  </w:style>
  <w:style w:type="character" w:customStyle="1" w:styleId="fontstyle51">
    <w:name w:val="fontstyle51"/>
    <w:basedOn w:val="DefaultParagraphFont"/>
    <w:rsid w:val="001C1235"/>
    <w:rPr>
      <w:rFonts w:ascii="TimesNewRoman" w:hAnsi="TimesNewRoman" w:hint="default"/>
      <w:b/>
      <w:bCs/>
      <w:i w:val="0"/>
      <w:iCs w:val="0"/>
      <w:color w:val="4A91A4"/>
      <w:sz w:val="24"/>
      <w:szCs w:val="24"/>
    </w:rPr>
  </w:style>
  <w:style w:type="paragraph" w:styleId="ListParagraph">
    <w:name w:val="List Paragraph"/>
    <w:basedOn w:val="Normal"/>
    <w:uiPriority w:val="34"/>
    <w:qFormat/>
    <w:rsid w:val="001C1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3D5"/>
  </w:style>
  <w:style w:type="paragraph" w:styleId="Footer">
    <w:name w:val="footer"/>
    <w:basedOn w:val="Normal"/>
    <w:link w:val="FooterChar"/>
    <w:uiPriority w:val="99"/>
    <w:unhideWhenUsed/>
    <w:rsid w:val="003B7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Volkova</dc:creator>
  <cp:keywords/>
  <dc:description/>
  <cp:lastModifiedBy>Juan Santos</cp:lastModifiedBy>
  <cp:revision>2</cp:revision>
  <dcterms:created xsi:type="dcterms:W3CDTF">2025-04-02T20:08:00Z</dcterms:created>
  <dcterms:modified xsi:type="dcterms:W3CDTF">2025-04-02T20:08:00Z</dcterms:modified>
</cp:coreProperties>
</file>